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12" w:rsidRDefault="0035324E" w:rsidP="00C30CDC">
      <w:pPr>
        <w:pStyle w:val="Titre1"/>
        <w:jc w:val="both"/>
      </w:pPr>
      <w:bookmarkStart w:id="0" w:name="_GoBack"/>
      <w:bookmarkEnd w:id="0"/>
      <w:r>
        <w:t>Scénario de c</w:t>
      </w:r>
      <w:r w:rsidR="00EA61B1">
        <w:t>ompensation de la hausse de la CSG par la prise en charge d’une partie des cotisations vieillesse de base pour les médecins de secteur 1</w:t>
      </w:r>
    </w:p>
    <w:p w:rsidR="00D75260" w:rsidRDefault="00D75260" w:rsidP="00C30CDC">
      <w:pPr>
        <w:jc w:val="both"/>
      </w:pPr>
    </w:p>
    <w:p w:rsidR="00520AFE" w:rsidRDefault="00B24B40" w:rsidP="00C30CDC">
      <w:pPr>
        <w:jc w:val="both"/>
      </w:pPr>
      <w:r>
        <w:t xml:space="preserve">En contrepartie du relèvement de 1,7 point de la CSG, il est prévu une baisse des cotisations maladie </w:t>
      </w:r>
      <w:r w:rsidR="007E6E08">
        <w:t xml:space="preserve">pour les bas et moyens revenus </w:t>
      </w:r>
      <w:r>
        <w:t>et une réduction du taux des cotisations d’allocation familiale de 2,15 point</w:t>
      </w:r>
      <w:r w:rsidR="00945C7B">
        <w:t>s</w:t>
      </w:r>
      <w:r>
        <w:t>. Dans le cas des médecins de secteur 1, ces baisses de taux ne suffisent pas à compenser</w:t>
      </w:r>
      <w:r w:rsidR="007E6E08">
        <w:t xml:space="preserve"> la hausse de la CSG</w:t>
      </w:r>
      <w:r w:rsidR="00945C7B">
        <w:t xml:space="preserve"> du fait de l’existence, prévue dans la convention médicale, de prise en charge de cotisations par l’assurance maladie qui ramènent le taux effectif de cotisation AF en-dessous de 2,15 points</w:t>
      </w:r>
      <w:r w:rsidR="00D75260">
        <w:t xml:space="preserve"> et celui des cotisations maladie à 0,1 point ;</w:t>
      </w:r>
      <w:r w:rsidR="007E6E08">
        <w:t xml:space="preserve"> la perte</w:t>
      </w:r>
      <w:r w:rsidR="00AF1D22">
        <w:t xml:space="preserve"> nette</w:t>
      </w:r>
      <w:r w:rsidR="007E6E08">
        <w:t xml:space="preserve"> de revenus </w:t>
      </w:r>
      <w:r w:rsidR="00AF1D22">
        <w:t xml:space="preserve">pour les médecins </w:t>
      </w:r>
      <w:r w:rsidR="007E6E08">
        <w:t>est estimée à 104 M€.</w:t>
      </w:r>
      <w:r w:rsidR="00945C7B">
        <w:t xml:space="preserve"> Pour compenser cette perte, il est prévu de mettre en œuvre une prise en charge partielle des cotisations de retraite de base par l’assurance maladie.</w:t>
      </w:r>
      <w:r w:rsidR="00F40DD4">
        <w:t xml:space="preserve"> Compte tenu de la dégressivité des cotisations </w:t>
      </w:r>
      <w:proofErr w:type="gramStart"/>
      <w:r w:rsidR="00F40DD4">
        <w:t>retraite</w:t>
      </w:r>
      <w:proofErr w:type="gramEnd"/>
      <w:r w:rsidR="00F40DD4">
        <w:t xml:space="preserve">, il n’est pas possible d’assurer une stricte compensation individuelle et la forme de la prise en charge des cotisations retraite aura un impact sur l’effet </w:t>
      </w:r>
      <w:proofErr w:type="spellStart"/>
      <w:r w:rsidR="00F40DD4">
        <w:t>redistributif</w:t>
      </w:r>
      <w:proofErr w:type="spellEnd"/>
      <w:r w:rsidR="00F40DD4">
        <w:t xml:space="preserve"> global de la mesure (selon le profil de répartition des gagnants et perdants en fonction du revenu).  </w:t>
      </w:r>
    </w:p>
    <w:p w:rsidR="007E6E08" w:rsidRDefault="00F31C0B" w:rsidP="00C30CDC">
      <w:pPr>
        <w:jc w:val="both"/>
      </w:pPr>
      <w:r>
        <w:t>Deux scénarios</w:t>
      </w:r>
      <w:r w:rsidR="007E6E08">
        <w:t xml:space="preserve"> sont présentés dans cette fiche :</w:t>
      </w:r>
    </w:p>
    <w:p w:rsidR="007E6E08" w:rsidRDefault="007E6E08" w:rsidP="00C30CDC">
      <w:pPr>
        <w:pStyle w:val="Paragraphedeliste"/>
        <w:numPr>
          <w:ilvl w:val="0"/>
          <w:numId w:val="5"/>
        </w:numPr>
        <w:jc w:val="both"/>
      </w:pPr>
      <w:r>
        <w:t xml:space="preserve">Scénario 1 : Une prise en charge </w:t>
      </w:r>
      <w:r w:rsidR="00D75260">
        <w:t xml:space="preserve">de </w:t>
      </w:r>
      <w:r w:rsidR="00265BC0">
        <w:t>26</w:t>
      </w:r>
      <w:r>
        <w:t>% des cotisations au titre de la retraite de base quel que soit le niveau de revenu.</w:t>
      </w:r>
    </w:p>
    <w:p w:rsidR="007E6E08" w:rsidRDefault="007E6E08" w:rsidP="00C30CDC">
      <w:pPr>
        <w:pStyle w:val="Paragraphedeliste"/>
        <w:numPr>
          <w:ilvl w:val="0"/>
          <w:numId w:val="5"/>
        </w:numPr>
        <w:jc w:val="both"/>
      </w:pPr>
      <w:r>
        <w:t xml:space="preserve">Scénario 2 : une prise en charge de </w:t>
      </w:r>
      <w:r w:rsidR="004D1631">
        <w:t>22</w:t>
      </w:r>
      <w:r>
        <w:t xml:space="preserve">% </w:t>
      </w:r>
      <w:r w:rsidR="00F31C0B">
        <w:t xml:space="preserve">des </w:t>
      </w:r>
      <w:r>
        <w:t xml:space="preserve">cotisations de retraite de base sur les revenus inférieurs </w:t>
      </w:r>
      <w:r w:rsidR="00F31C0B">
        <w:t>à 1 PSS</w:t>
      </w:r>
      <w:r>
        <w:t xml:space="preserve"> et de </w:t>
      </w:r>
      <w:r w:rsidR="00A33F9C">
        <w:t>39</w:t>
      </w:r>
      <w:r>
        <w:t>% des cotisations sur les revenus compris entre 1 PSS et 5 PSS</w:t>
      </w:r>
    </w:p>
    <w:p w:rsidR="0020125C" w:rsidRDefault="0020125C" w:rsidP="003E051E">
      <w:pPr>
        <w:pStyle w:val="Paragraphedeliste"/>
        <w:jc w:val="both"/>
      </w:pPr>
    </w:p>
    <w:p w:rsidR="0020125C" w:rsidRPr="00B24B40" w:rsidRDefault="0020125C" w:rsidP="003E051E">
      <w:pPr>
        <w:jc w:val="both"/>
      </w:pPr>
      <w:r>
        <w:t>On se concentre ici uniquement sur les revenus entrant dans le champ de la prise en charge de cotisation par l’assurance maladie. Pour les autres revenus des médecins</w:t>
      </w:r>
      <w:r w:rsidR="00C65C17">
        <w:t xml:space="preserve"> (qui sont marginaux pour cette population)</w:t>
      </w:r>
      <w:r w:rsidR="00B05C23">
        <w:t>, l’ensemble des mouvements de taux (CSG, cotisations AF et maladie) produit les mêmes effets que pour les autres travailleurs indépendants assurant a minima l’absence de perte de revenu.</w:t>
      </w:r>
    </w:p>
    <w:p w:rsidR="00B11616" w:rsidRPr="009C169D" w:rsidRDefault="00C76649" w:rsidP="00C30CDC">
      <w:pPr>
        <w:pStyle w:val="Titre2"/>
        <w:jc w:val="both"/>
      </w:pPr>
      <w:r>
        <w:t xml:space="preserve">Problématique </w:t>
      </w:r>
    </w:p>
    <w:p w:rsidR="00E21142" w:rsidRDefault="00E21142" w:rsidP="00C30CDC">
      <w:pPr>
        <w:spacing w:after="60" w:line="240" w:lineRule="auto"/>
        <w:jc w:val="both"/>
      </w:pPr>
      <w:r>
        <w:t>Le régime des PAMC prévoient une prise en charge des cotisations maladie et famille pour les revenus issus des honoraires à tarifs opposable des médecins généralistes et spécialistes de secteur 1 de sorte que la baisse des taux maladie et famille ne suffit pas à compenser la hausse de la CSG.</w:t>
      </w:r>
    </w:p>
    <w:p w:rsidR="00E21142" w:rsidRDefault="00E21142" w:rsidP="00C30CDC">
      <w:pPr>
        <w:spacing w:after="60" w:line="240" w:lineRule="auto"/>
        <w:jc w:val="both"/>
      </w:pPr>
      <w:r>
        <w:t>Plus précisément, les médecins de secteur 1 continueront de cotiser 0,1% de leurs revenus au titre de la maladie. Pour les cotisations famille, la prise en charge par l’AMO est intégral</w:t>
      </w:r>
      <w:r w:rsidR="00EA0AEF">
        <w:t>e</w:t>
      </w:r>
      <w:r>
        <w:t xml:space="preserve"> pour les revenus inférieurs à 1,4 PASS, de </w:t>
      </w:r>
      <w:r w:rsidR="007C66F7">
        <w:t>75% pour les revenus allant de 1,4 P</w:t>
      </w:r>
      <w:r w:rsidR="00C65C17">
        <w:t>A</w:t>
      </w:r>
      <w:r w:rsidR="007C66F7">
        <w:t>SS à 2,5 PSS et 60% pour les revenus supérieurs à 2,</w:t>
      </w:r>
      <w:r w:rsidR="00504F51">
        <w:t>5</w:t>
      </w:r>
      <w:r w:rsidR="007C66F7">
        <w:t xml:space="preserve"> P</w:t>
      </w:r>
      <w:r w:rsidR="00C65C17">
        <w:t>A</w:t>
      </w:r>
      <w:r w:rsidR="007C66F7">
        <w:t>SS.</w:t>
      </w:r>
      <w:r w:rsidR="00C76649">
        <w:t xml:space="preserve"> Le bénéfice de ces baisses de taux se partage entre les professionnels de santé et les dépenses d’assurance maladie qui diminuent.</w:t>
      </w:r>
    </w:p>
    <w:p w:rsidR="00F31C0B" w:rsidRDefault="00F31C0B" w:rsidP="00C30CDC">
      <w:pPr>
        <w:spacing w:after="60" w:line="240" w:lineRule="auto"/>
        <w:jc w:val="both"/>
      </w:pPr>
    </w:p>
    <w:p w:rsidR="00C65C17" w:rsidRDefault="00C65C17">
      <w:pPr>
        <w:rPr>
          <w:b/>
        </w:rPr>
      </w:pPr>
      <w:r>
        <w:br w:type="page"/>
      </w:r>
    </w:p>
    <w:p w:rsidR="00B11616" w:rsidRPr="00B11616" w:rsidRDefault="00B11616" w:rsidP="00C30CDC">
      <w:pPr>
        <w:pStyle w:val="Titre2"/>
        <w:jc w:val="both"/>
      </w:pPr>
      <w:r w:rsidRPr="00B11616">
        <w:lastRenderedPageBreak/>
        <w:t>Présentation des impacts financiers</w:t>
      </w:r>
      <w:r w:rsidR="007E6E08">
        <w:t xml:space="preserve"> avant compensation</w:t>
      </w:r>
      <w:r w:rsidR="002A6E32">
        <w:t> : 10</w:t>
      </w:r>
      <w:r w:rsidR="00DF564E">
        <w:t>4</w:t>
      </w:r>
      <w:r w:rsidR="002A6E32">
        <w:t xml:space="preserve"> M€ </w:t>
      </w:r>
      <w:r w:rsidR="00F31C0B">
        <w:t>à compenser</w:t>
      </w:r>
    </w:p>
    <w:p w:rsidR="00D56439" w:rsidRDefault="00F31C0B" w:rsidP="00C30CDC">
      <w:pPr>
        <w:jc w:val="both"/>
      </w:pPr>
      <w:r w:rsidRPr="00F31C0B">
        <w:rPr>
          <w:noProof/>
          <w:lang w:eastAsia="fr-FR"/>
        </w:rPr>
        <w:drawing>
          <wp:inline distT="0" distB="0" distL="0" distR="0" wp14:anchorId="4B058F55" wp14:editId="2F589363">
            <wp:extent cx="5250140" cy="767787"/>
            <wp:effectExtent l="0" t="0" r="825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82" cy="7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0B" w:rsidRDefault="00F11E8E" w:rsidP="00F11E8E">
      <w:pPr>
        <w:jc w:val="center"/>
      </w:pPr>
      <w:r>
        <w:rPr>
          <w:noProof/>
          <w:lang w:eastAsia="fr-FR"/>
        </w:rPr>
        <w:drawing>
          <wp:inline distT="0" distB="0" distL="0" distR="0" wp14:anchorId="583EFAB5">
            <wp:extent cx="5803200" cy="378000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E8E" w:rsidRDefault="00F11E8E" w:rsidP="00F11E8E">
      <w:pPr>
        <w:jc w:val="center"/>
      </w:pPr>
      <w:r>
        <w:rPr>
          <w:noProof/>
          <w:lang w:eastAsia="fr-FR"/>
        </w:rPr>
        <w:drawing>
          <wp:inline distT="0" distB="0" distL="0" distR="0" wp14:anchorId="1AB8437B">
            <wp:extent cx="5629910" cy="3667125"/>
            <wp:effectExtent l="0" t="0" r="889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12" cy="366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616" w:rsidRPr="002A6E32" w:rsidRDefault="002A6E32" w:rsidP="00C30CDC">
      <w:pPr>
        <w:pStyle w:val="Titre2"/>
        <w:jc w:val="both"/>
      </w:pPr>
      <w:r w:rsidRPr="002A6E32">
        <w:lastRenderedPageBreak/>
        <w:t>Compensation par une prise en charge des cotisations au régime de retraite de base</w:t>
      </w:r>
    </w:p>
    <w:p w:rsidR="00B11616" w:rsidRDefault="00094A35" w:rsidP="00C30CDC">
      <w:pPr>
        <w:jc w:val="both"/>
      </w:pPr>
      <w:r>
        <w:t xml:space="preserve">Le taux de cotisation à la retraite de base applicable en 2018 est </w:t>
      </w:r>
      <w:r w:rsidR="008777C5">
        <w:t xml:space="preserve">un taux </w:t>
      </w:r>
      <w:r w:rsidR="0049074A">
        <w:t>progressif</w:t>
      </w:r>
      <w:r w:rsidR="008777C5">
        <w:t xml:space="preserve"> </w:t>
      </w:r>
      <w:r w:rsidR="002820E6">
        <w:t>en deux tranches</w:t>
      </w:r>
      <w:r w:rsidR="00C65C17">
        <w:t> :</w:t>
      </w:r>
      <w:r w:rsidR="002820E6">
        <w:t xml:space="preserve"> </w:t>
      </w:r>
      <w:r>
        <w:t xml:space="preserve">10,1% </w:t>
      </w:r>
      <w:r w:rsidR="00C65C17">
        <w:t>sous le</w:t>
      </w:r>
      <w:r>
        <w:t xml:space="preserve"> </w:t>
      </w:r>
      <w:r w:rsidR="002820E6">
        <w:t>plafond de la sécurité sociale puis</w:t>
      </w:r>
      <w:r>
        <w:t xml:space="preserve"> de 1,87% jusqu’à cinq fois le </w:t>
      </w:r>
      <w:r w:rsidR="00C65C17">
        <w:t>PASS</w:t>
      </w:r>
      <w:r>
        <w:t xml:space="preserve">. </w:t>
      </w:r>
    </w:p>
    <w:p w:rsidR="005662E1" w:rsidRDefault="005662E1" w:rsidP="00C30CDC">
      <w:pPr>
        <w:jc w:val="both"/>
      </w:pPr>
      <w:r>
        <w:t>Le scénario de compensation le plus simple consiste à prendre en charge un taux fixe de 2</w:t>
      </w:r>
      <w:r w:rsidR="00C65C17">
        <w:t>6</w:t>
      </w:r>
      <w:r>
        <w:t xml:space="preserve">% de ces cotisations </w:t>
      </w:r>
      <w:r w:rsidR="00C65C17">
        <w:t>l</w:t>
      </w:r>
      <w:r>
        <w:t xml:space="preserve">a dégressivité </w:t>
      </w:r>
      <w:r w:rsidR="00C65C17">
        <w:t>de la cotisation retraite</w:t>
      </w:r>
      <w:r>
        <w:t xml:space="preserve"> implique des effets distributifs des plus hauts revenus vers les plus faibles. </w:t>
      </w:r>
      <w:r w:rsidR="00F276CE">
        <w:t>U</w:t>
      </w:r>
      <w:r>
        <w:t xml:space="preserve">n scénario </w:t>
      </w:r>
      <w:r w:rsidR="00F276CE">
        <w:t xml:space="preserve">alternatif, un peu plus proche de la neutralité individuelle, </w:t>
      </w:r>
      <w:r>
        <w:t>avec des prises en charge différencié</w:t>
      </w:r>
      <w:r w:rsidR="00C65C17">
        <w:t>e</w:t>
      </w:r>
      <w:r>
        <w:t xml:space="preserve">s par tranche est </w:t>
      </w:r>
      <w:r w:rsidR="00F276CE">
        <w:t>également proposé.</w:t>
      </w:r>
    </w:p>
    <w:p w:rsidR="00B11616" w:rsidRDefault="00D54F9E" w:rsidP="00C30CDC">
      <w:pPr>
        <w:jc w:val="both"/>
      </w:pPr>
      <w:r w:rsidRPr="00F930B8">
        <w:rPr>
          <w:b/>
          <w:u w:val="single"/>
        </w:rPr>
        <w:t>Scenario 1</w:t>
      </w:r>
      <w:r>
        <w:t xml:space="preserve"> : Application d’un taux fixe de </w:t>
      </w:r>
      <w:r w:rsidR="00265BC0">
        <w:rPr>
          <w:b/>
        </w:rPr>
        <w:t>26</w:t>
      </w:r>
      <w:r w:rsidR="00C27A60" w:rsidRPr="00C27A60">
        <w:rPr>
          <w:b/>
        </w:rPr>
        <w:t>%</w:t>
      </w:r>
      <w:r w:rsidR="00C27A60">
        <w:t xml:space="preserve"> </w:t>
      </w:r>
      <w:r>
        <w:t>prise en charge de la cotisation retraite de base</w:t>
      </w:r>
    </w:p>
    <w:p w:rsidR="005A1771" w:rsidRDefault="005A1771" w:rsidP="00C30CDC">
      <w:pPr>
        <w:jc w:val="both"/>
      </w:pPr>
      <w:r w:rsidRPr="00F930B8">
        <w:rPr>
          <w:b/>
          <w:u w:val="single"/>
        </w:rPr>
        <w:t>Scenario 2</w:t>
      </w:r>
      <w:r>
        <w:t xml:space="preserve"> : Un </w:t>
      </w:r>
      <w:r w:rsidR="00667D1B">
        <w:t xml:space="preserve">taux de prise en charge différencié par </w:t>
      </w:r>
      <w:r>
        <w:t>tranche de la retraite de base</w:t>
      </w:r>
    </w:p>
    <w:p w:rsidR="00C27A60" w:rsidRDefault="005A1771" w:rsidP="00C30CDC">
      <w:pPr>
        <w:spacing w:after="0"/>
        <w:ind w:firstLine="708"/>
        <w:jc w:val="both"/>
      </w:pPr>
      <w:r>
        <w:t xml:space="preserve">Entre 0 et 1 PASS : </w:t>
      </w:r>
      <w:r w:rsidR="003A7D73">
        <w:rPr>
          <w:b/>
        </w:rPr>
        <w:t>22</w:t>
      </w:r>
      <w:r w:rsidR="00C27A60">
        <w:rPr>
          <w:b/>
        </w:rPr>
        <w:t xml:space="preserve"> </w:t>
      </w:r>
      <w:r w:rsidR="007A4BFA" w:rsidRPr="00872970">
        <w:rPr>
          <w:b/>
        </w:rPr>
        <w:t>%</w:t>
      </w:r>
      <w:r w:rsidR="007A4BFA">
        <w:t xml:space="preserve"> </w:t>
      </w:r>
    </w:p>
    <w:p w:rsidR="00F930B8" w:rsidRDefault="005A1771" w:rsidP="00C30CDC">
      <w:pPr>
        <w:spacing w:after="0"/>
        <w:ind w:firstLine="708"/>
        <w:jc w:val="both"/>
      </w:pPr>
      <w:r>
        <w:t xml:space="preserve">Entre 1 et 5 PASS : </w:t>
      </w:r>
      <w:r w:rsidR="00A33F9C">
        <w:rPr>
          <w:b/>
        </w:rPr>
        <w:t>39</w:t>
      </w:r>
      <w:r w:rsidR="00C27A60">
        <w:rPr>
          <w:b/>
        </w:rPr>
        <w:t xml:space="preserve"> </w:t>
      </w:r>
      <w:r w:rsidR="007A4BFA" w:rsidRPr="00872970">
        <w:rPr>
          <w:b/>
        </w:rPr>
        <w:t>%</w:t>
      </w:r>
      <w:r w:rsidR="007A4BFA">
        <w:t xml:space="preserve"> </w:t>
      </w:r>
    </w:p>
    <w:p w:rsidR="001C470B" w:rsidRDefault="001C470B" w:rsidP="001C470B">
      <w:pPr>
        <w:spacing w:after="0" w:line="240" w:lineRule="auto"/>
        <w:jc w:val="both"/>
      </w:pPr>
    </w:p>
    <w:p w:rsidR="00CC0EC8" w:rsidRDefault="00CC0EC8" w:rsidP="00C30CDC">
      <w:pPr>
        <w:spacing w:after="0"/>
        <w:jc w:val="both"/>
      </w:pPr>
      <w:r>
        <w:t xml:space="preserve">Dans le premier scénario, les effets </w:t>
      </w:r>
      <w:proofErr w:type="spellStart"/>
      <w:r>
        <w:t>redistributifs</w:t>
      </w:r>
      <w:proofErr w:type="spellEnd"/>
      <w:r>
        <w:t xml:space="preserve"> sont plus importants et la compensation n’est pas total</w:t>
      </w:r>
      <w:r w:rsidR="00C65C17">
        <w:t>e</w:t>
      </w:r>
      <w:r>
        <w:t xml:space="preserve"> pour les professionnels dont les revenus sont supérieurs à 120 </w:t>
      </w:r>
      <w:r w:rsidR="00C65C17">
        <w:t>000 euros soit environ un quart</w:t>
      </w:r>
      <w:r>
        <w:t>.</w:t>
      </w:r>
    </w:p>
    <w:p w:rsidR="00CC0EC8" w:rsidRDefault="00CC0EC8" w:rsidP="00C30CDC">
      <w:pPr>
        <w:spacing w:after="0"/>
        <w:jc w:val="both"/>
      </w:pPr>
      <w:r>
        <w:t xml:space="preserve">Le scénario 2 limite </w:t>
      </w:r>
      <w:r w:rsidR="00F276CE">
        <w:t>les écarts de revenus</w:t>
      </w:r>
      <w:r w:rsidR="00504F51">
        <w:t>, la compensation n’étant partielle qu’à partir de 150</w:t>
      </w:r>
      <w:r w:rsidR="00C65C17">
        <w:t> 000 </w:t>
      </w:r>
      <w:r w:rsidR="00504F51">
        <w:t>euros de revenus ce qui concernent environ 10% des médecins de secteur 1</w:t>
      </w:r>
      <w:r w:rsidR="00F276CE">
        <w:t>.</w:t>
      </w:r>
    </w:p>
    <w:p w:rsidR="005C4F07" w:rsidRDefault="005C4F07" w:rsidP="001C470B">
      <w:pPr>
        <w:spacing w:after="0" w:line="240" w:lineRule="auto"/>
        <w:jc w:val="both"/>
      </w:pPr>
    </w:p>
    <w:p w:rsidR="005C4F07" w:rsidRDefault="001C470B" w:rsidP="006D0BC2">
      <w:pPr>
        <w:spacing w:after="0"/>
        <w:jc w:val="center"/>
      </w:pPr>
      <w:r w:rsidRPr="001C470B">
        <w:rPr>
          <w:noProof/>
          <w:lang w:eastAsia="fr-FR"/>
        </w:rPr>
        <w:drawing>
          <wp:inline distT="0" distB="0" distL="0" distR="0">
            <wp:extent cx="3419475" cy="170973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148" cy="17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C8" w:rsidRDefault="00CC0EC8" w:rsidP="00C30CDC">
      <w:pPr>
        <w:spacing w:after="0"/>
        <w:jc w:val="both"/>
      </w:pPr>
    </w:p>
    <w:p w:rsidR="001C470B" w:rsidRDefault="001C470B" w:rsidP="001C470B">
      <w:pPr>
        <w:pStyle w:val="Lgende"/>
        <w:keepNext/>
        <w:jc w:val="both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Impacts financiers</w:t>
      </w:r>
      <w:r w:rsidR="00994AC3">
        <w:t xml:space="preserve"> par tranche de revenu</w:t>
      </w:r>
    </w:p>
    <w:p w:rsidR="009C169D" w:rsidRDefault="003A7D73" w:rsidP="00994AC3">
      <w:pPr>
        <w:spacing w:after="0"/>
        <w:jc w:val="both"/>
      </w:pPr>
      <w:r w:rsidRPr="003A7D73">
        <w:rPr>
          <w:noProof/>
          <w:lang w:eastAsia="fr-FR"/>
        </w:rPr>
        <w:drawing>
          <wp:inline distT="0" distB="0" distL="0" distR="0" wp14:anchorId="33740095" wp14:editId="04473457">
            <wp:extent cx="5219700" cy="2775242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70" cy="27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69D">
        <w:br w:type="page"/>
      </w:r>
    </w:p>
    <w:p w:rsidR="00641C2D" w:rsidRDefault="00641C2D" w:rsidP="00C30CDC">
      <w:pPr>
        <w:spacing w:after="0"/>
        <w:jc w:val="both"/>
      </w:pPr>
      <w:r>
        <w:lastRenderedPageBreak/>
        <w:t>Le</w:t>
      </w:r>
      <w:r w:rsidR="008731EA">
        <w:t>s</w:t>
      </w:r>
      <w:r>
        <w:t xml:space="preserve"> graphique</w:t>
      </w:r>
      <w:r w:rsidR="008731EA">
        <w:t>s</w:t>
      </w:r>
      <w:r>
        <w:t xml:space="preserve"> ci-dessou</w:t>
      </w:r>
      <w:r w:rsidR="008731EA">
        <w:t xml:space="preserve">s présentent les écarts </w:t>
      </w:r>
      <w:r>
        <w:t>de revenu</w:t>
      </w:r>
      <w:r w:rsidR="008731EA">
        <w:t>s</w:t>
      </w:r>
      <w:r>
        <w:t xml:space="preserve"> </w:t>
      </w:r>
      <w:r w:rsidR="008731EA">
        <w:t xml:space="preserve">(en pourcentage du revenu total et en montant moyen par PS) selon le scenario retenu : </w:t>
      </w:r>
    </w:p>
    <w:p w:rsidR="005A1771" w:rsidRDefault="00994AC3" w:rsidP="00C30CDC">
      <w:pPr>
        <w:jc w:val="both"/>
      </w:pPr>
      <w:r>
        <w:rPr>
          <w:noProof/>
          <w:lang w:eastAsia="fr-FR"/>
        </w:rPr>
        <w:drawing>
          <wp:inline distT="0" distB="0" distL="0" distR="0" wp14:anchorId="4DE6FB21">
            <wp:extent cx="5803200" cy="378000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1EA" w:rsidRPr="00131C81" w:rsidRDefault="008731EA" w:rsidP="00C30CDC">
      <w:pPr>
        <w:jc w:val="both"/>
        <w:rPr>
          <w:i/>
          <w:sz w:val="18"/>
          <w:szCs w:val="18"/>
        </w:rPr>
      </w:pPr>
      <w:r w:rsidRPr="00131C81">
        <w:rPr>
          <w:i/>
          <w:sz w:val="18"/>
          <w:szCs w:val="18"/>
        </w:rPr>
        <w:t xml:space="preserve">Lecture : En moyenne les médecins dont le revenu pris en charge se situe entre </w:t>
      </w:r>
      <w:r w:rsidR="0035324E">
        <w:rPr>
          <w:i/>
          <w:sz w:val="18"/>
          <w:szCs w:val="18"/>
        </w:rPr>
        <w:t>30</w:t>
      </w:r>
      <w:r w:rsidR="00C65C17">
        <w:rPr>
          <w:i/>
          <w:sz w:val="18"/>
          <w:szCs w:val="18"/>
        </w:rPr>
        <w:t> </w:t>
      </w:r>
      <w:r w:rsidRPr="00131C81">
        <w:rPr>
          <w:i/>
          <w:sz w:val="18"/>
          <w:szCs w:val="18"/>
        </w:rPr>
        <w:t>000</w:t>
      </w:r>
      <w:r w:rsidR="00C65C17">
        <w:rPr>
          <w:i/>
          <w:sz w:val="18"/>
          <w:szCs w:val="18"/>
        </w:rPr>
        <w:t> </w:t>
      </w:r>
      <w:r w:rsidRPr="00131C81">
        <w:rPr>
          <w:i/>
          <w:sz w:val="18"/>
          <w:szCs w:val="18"/>
        </w:rPr>
        <w:t xml:space="preserve">€ et </w:t>
      </w:r>
      <w:r w:rsidR="0035324E">
        <w:rPr>
          <w:i/>
          <w:sz w:val="18"/>
          <w:szCs w:val="18"/>
        </w:rPr>
        <w:t>45</w:t>
      </w:r>
      <w:r w:rsidR="00C65C17">
        <w:rPr>
          <w:i/>
          <w:sz w:val="18"/>
          <w:szCs w:val="18"/>
        </w:rPr>
        <w:t> </w:t>
      </w:r>
      <w:r w:rsidR="0035324E">
        <w:rPr>
          <w:i/>
          <w:sz w:val="18"/>
          <w:szCs w:val="18"/>
        </w:rPr>
        <w:t>000</w:t>
      </w:r>
      <w:r w:rsidR="00C65C17">
        <w:rPr>
          <w:i/>
          <w:sz w:val="18"/>
          <w:szCs w:val="18"/>
        </w:rPr>
        <w:t> </w:t>
      </w:r>
      <w:r w:rsidRPr="00131C81">
        <w:rPr>
          <w:i/>
          <w:sz w:val="18"/>
          <w:szCs w:val="18"/>
        </w:rPr>
        <w:t xml:space="preserve">€ </w:t>
      </w:r>
      <w:r w:rsidR="0035324E">
        <w:rPr>
          <w:i/>
          <w:sz w:val="18"/>
          <w:szCs w:val="18"/>
        </w:rPr>
        <w:t>gagneront</w:t>
      </w:r>
      <w:r w:rsidRPr="00131C81">
        <w:rPr>
          <w:i/>
          <w:sz w:val="18"/>
          <w:szCs w:val="18"/>
        </w:rPr>
        <w:t xml:space="preserve"> </w:t>
      </w:r>
      <w:r w:rsidR="0035324E">
        <w:rPr>
          <w:i/>
          <w:sz w:val="18"/>
          <w:szCs w:val="18"/>
        </w:rPr>
        <w:t>0,4</w:t>
      </w:r>
      <w:r w:rsidRPr="00131C81">
        <w:rPr>
          <w:i/>
          <w:sz w:val="18"/>
          <w:szCs w:val="18"/>
        </w:rPr>
        <w:t xml:space="preserve">% </w:t>
      </w:r>
      <w:r w:rsidR="0035324E">
        <w:rPr>
          <w:i/>
          <w:sz w:val="18"/>
          <w:szCs w:val="18"/>
        </w:rPr>
        <w:t>de revenus disponible dans le scénario 1</w:t>
      </w:r>
    </w:p>
    <w:p w:rsidR="00521202" w:rsidRDefault="004D1631" w:rsidP="00C30CDC">
      <w:pPr>
        <w:jc w:val="both"/>
      </w:pPr>
      <w:r>
        <w:rPr>
          <w:noProof/>
          <w:lang w:eastAsia="fr-FR"/>
        </w:rPr>
        <w:drawing>
          <wp:inline distT="0" distB="0" distL="0" distR="0" wp14:anchorId="56DEDA25">
            <wp:extent cx="5803200" cy="3780000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120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FD" w:rsidRDefault="00191DFD" w:rsidP="003A2A80">
      <w:pPr>
        <w:spacing w:after="0" w:line="240" w:lineRule="auto"/>
      </w:pPr>
      <w:r>
        <w:separator/>
      </w:r>
    </w:p>
  </w:endnote>
  <w:endnote w:type="continuationSeparator" w:id="0">
    <w:p w:rsidR="00191DFD" w:rsidRDefault="00191DFD" w:rsidP="003A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225817"/>
      <w:docPartObj>
        <w:docPartGallery w:val="Page Numbers (Bottom of Page)"/>
        <w:docPartUnique/>
      </w:docPartObj>
    </w:sdtPr>
    <w:sdtEndPr/>
    <w:sdtContent>
      <w:p w:rsidR="003A2A80" w:rsidRDefault="003A2A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F26">
          <w:rPr>
            <w:noProof/>
          </w:rPr>
          <w:t>1</w:t>
        </w:r>
        <w:r>
          <w:fldChar w:fldCharType="end"/>
        </w:r>
      </w:p>
    </w:sdtContent>
  </w:sdt>
  <w:p w:rsidR="003A2A80" w:rsidRDefault="003A2A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FD" w:rsidRDefault="00191DFD" w:rsidP="003A2A80">
      <w:pPr>
        <w:spacing w:after="0" w:line="240" w:lineRule="auto"/>
      </w:pPr>
      <w:r>
        <w:separator/>
      </w:r>
    </w:p>
  </w:footnote>
  <w:footnote w:type="continuationSeparator" w:id="0">
    <w:p w:rsidR="00191DFD" w:rsidRDefault="00191DFD" w:rsidP="003A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80" w:rsidRDefault="003A2A80">
    <w:pPr>
      <w:pStyle w:val="En-tte"/>
    </w:pPr>
    <w:r>
      <w:tab/>
    </w:r>
    <w:r>
      <w:tab/>
      <w:t>Novembre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3DF"/>
    <w:multiLevelType w:val="hybridMultilevel"/>
    <w:tmpl w:val="9E6072AE"/>
    <w:lvl w:ilvl="0" w:tplc="777687A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171C"/>
    <w:multiLevelType w:val="hybridMultilevel"/>
    <w:tmpl w:val="15A2679C"/>
    <w:lvl w:ilvl="0" w:tplc="E38E745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6B11"/>
    <w:multiLevelType w:val="hybridMultilevel"/>
    <w:tmpl w:val="ACD88170"/>
    <w:lvl w:ilvl="0" w:tplc="AC524E92">
      <w:numFmt w:val="bullet"/>
      <w:lvlText w:val="-"/>
      <w:lvlJc w:val="left"/>
      <w:pPr>
        <w:ind w:left="1065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85237B5"/>
    <w:multiLevelType w:val="hybridMultilevel"/>
    <w:tmpl w:val="6F405BEC"/>
    <w:lvl w:ilvl="0" w:tplc="7578107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B3FF7"/>
    <w:multiLevelType w:val="hybridMultilevel"/>
    <w:tmpl w:val="C0F658FE"/>
    <w:lvl w:ilvl="0" w:tplc="890ACCFC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1"/>
    <w:rsid w:val="00012134"/>
    <w:rsid w:val="00015AFA"/>
    <w:rsid w:val="00031309"/>
    <w:rsid w:val="00034049"/>
    <w:rsid w:val="00060CE3"/>
    <w:rsid w:val="00094A35"/>
    <w:rsid w:val="000B139B"/>
    <w:rsid w:val="000C2EEE"/>
    <w:rsid w:val="000C7640"/>
    <w:rsid w:val="000F65B3"/>
    <w:rsid w:val="00120B34"/>
    <w:rsid w:val="001238EF"/>
    <w:rsid w:val="00130442"/>
    <w:rsid w:val="00131C81"/>
    <w:rsid w:val="00142C14"/>
    <w:rsid w:val="001515DB"/>
    <w:rsid w:val="00182642"/>
    <w:rsid w:val="00191DFD"/>
    <w:rsid w:val="00195D2F"/>
    <w:rsid w:val="001C470B"/>
    <w:rsid w:val="001D3DEE"/>
    <w:rsid w:val="001E1481"/>
    <w:rsid w:val="001F1D6C"/>
    <w:rsid w:val="0020125C"/>
    <w:rsid w:val="00204148"/>
    <w:rsid w:val="00210C5D"/>
    <w:rsid w:val="00225685"/>
    <w:rsid w:val="00226850"/>
    <w:rsid w:val="00265BC0"/>
    <w:rsid w:val="002820E6"/>
    <w:rsid w:val="002A6E32"/>
    <w:rsid w:val="002D1EDF"/>
    <w:rsid w:val="0031044B"/>
    <w:rsid w:val="00326286"/>
    <w:rsid w:val="00347F12"/>
    <w:rsid w:val="0035324E"/>
    <w:rsid w:val="00382EB4"/>
    <w:rsid w:val="00390647"/>
    <w:rsid w:val="00397F2D"/>
    <w:rsid w:val="003A2A80"/>
    <w:rsid w:val="003A3105"/>
    <w:rsid w:val="003A7D73"/>
    <w:rsid w:val="003D74C3"/>
    <w:rsid w:val="003E051E"/>
    <w:rsid w:val="003E60B4"/>
    <w:rsid w:val="0040143D"/>
    <w:rsid w:val="004543F7"/>
    <w:rsid w:val="0045497A"/>
    <w:rsid w:val="0049074A"/>
    <w:rsid w:val="004D1631"/>
    <w:rsid w:val="005027D9"/>
    <w:rsid w:val="00504F51"/>
    <w:rsid w:val="00520AFE"/>
    <w:rsid w:val="00521202"/>
    <w:rsid w:val="00551C80"/>
    <w:rsid w:val="00556D4D"/>
    <w:rsid w:val="005662E1"/>
    <w:rsid w:val="00566622"/>
    <w:rsid w:val="00584F5A"/>
    <w:rsid w:val="005A1771"/>
    <w:rsid w:val="005C4A09"/>
    <w:rsid w:val="005C4F07"/>
    <w:rsid w:val="005D7982"/>
    <w:rsid w:val="00623FE7"/>
    <w:rsid w:val="00627410"/>
    <w:rsid w:val="00631D36"/>
    <w:rsid w:val="0063251B"/>
    <w:rsid w:val="006327D8"/>
    <w:rsid w:val="0063788E"/>
    <w:rsid w:val="00641C2D"/>
    <w:rsid w:val="006429DA"/>
    <w:rsid w:val="00651851"/>
    <w:rsid w:val="00666586"/>
    <w:rsid w:val="00666D56"/>
    <w:rsid w:val="00667D1B"/>
    <w:rsid w:val="00673C8A"/>
    <w:rsid w:val="00681CC0"/>
    <w:rsid w:val="006D025D"/>
    <w:rsid w:val="006D0BC2"/>
    <w:rsid w:val="006E12FF"/>
    <w:rsid w:val="006E540A"/>
    <w:rsid w:val="00715977"/>
    <w:rsid w:val="00734D96"/>
    <w:rsid w:val="00740690"/>
    <w:rsid w:val="00741B81"/>
    <w:rsid w:val="007553BD"/>
    <w:rsid w:val="00774D9A"/>
    <w:rsid w:val="007937EB"/>
    <w:rsid w:val="007A4BFA"/>
    <w:rsid w:val="007A68F8"/>
    <w:rsid w:val="007C66F7"/>
    <w:rsid w:val="007E6E08"/>
    <w:rsid w:val="00803FE1"/>
    <w:rsid w:val="00831DD4"/>
    <w:rsid w:val="00840DB4"/>
    <w:rsid w:val="00872397"/>
    <w:rsid w:val="00872970"/>
    <w:rsid w:val="008731EA"/>
    <w:rsid w:val="008747D1"/>
    <w:rsid w:val="008777C5"/>
    <w:rsid w:val="008A4D3A"/>
    <w:rsid w:val="008B1AB5"/>
    <w:rsid w:val="008F6932"/>
    <w:rsid w:val="00926DC7"/>
    <w:rsid w:val="00945C7B"/>
    <w:rsid w:val="0096719B"/>
    <w:rsid w:val="00976611"/>
    <w:rsid w:val="00990DCE"/>
    <w:rsid w:val="00994464"/>
    <w:rsid w:val="00994AC3"/>
    <w:rsid w:val="009C169D"/>
    <w:rsid w:val="009E086B"/>
    <w:rsid w:val="00A30449"/>
    <w:rsid w:val="00A33F9C"/>
    <w:rsid w:val="00A46D34"/>
    <w:rsid w:val="00A47F75"/>
    <w:rsid w:val="00A5389D"/>
    <w:rsid w:val="00A8684F"/>
    <w:rsid w:val="00AA54E8"/>
    <w:rsid w:val="00AD5F8D"/>
    <w:rsid w:val="00AE3BDF"/>
    <w:rsid w:val="00AF1D22"/>
    <w:rsid w:val="00B00BE8"/>
    <w:rsid w:val="00B02E8B"/>
    <w:rsid w:val="00B05C23"/>
    <w:rsid w:val="00B11616"/>
    <w:rsid w:val="00B24B40"/>
    <w:rsid w:val="00B76C48"/>
    <w:rsid w:val="00B81EC8"/>
    <w:rsid w:val="00B81EE0"/>
    <w:rsid w:val="00B90FAA"/>
    <w:rsid w:val="00B96426"/>
    <w:rsid w:val="00BC17A6"/>
    <w:rsid w:val="00C1124A"/>
    <w:rsid w:val="00C13160"/>
    <w:rsid w:val="00C27A60"/>
    <w:rsid w:val="00C30CDC"/>
    <w:rsid w:val="00C324DE"/>
    <w:rsid w:val="00C56543"/>
    <w:rsid w:val="00C64A4A"/>
    <w:rsid w:val="00C65C17"/>
    <w:rsid w:val="00C72F26"/>
    <w:rsid w:val="00C76649"/>
    <w:rsid w:val="00C95EB3"/>
    <w:rsid w:val="00C972C5"/>
    <w:rsid w:val="00CC0EC8"/>
    <w:rsid w:val="00CC4358"/>
    <w:rsid w:val="00CE6A01"/>
    <w:rsid w:val="00D16DB9"/>
    <w:rsid w:val="00D35897"/>
    <w:rsid w:val="00D40DA4"/>
    <w:rsid w:val="00D456CC"/>
    <w:rsid w:val="00D54F9E"/>
    <w:rsid w:val="00D56439"/>
    <w:rsid w:val="00D6693D"/>
    <w:rsid w:val="00D75260"/>
    <w:rsid w:val="00D975A5"/>
    <w:rsid w:val="00DA3B4A"/>
    <w:rsid w:val="00DC4ACF"/>
    <w:rsid w:val="00DE0549"/>
    <w:rsid w:val="00DE7949"/>
    <w:rsid w:val="00DF564E"/>
    <w:rsid w:val="00E148F4"/>
    <w:rsid w:val="00E21142"/>
    <w:rsid w:val="00E2144E"/>
    <w:rsid w:val="00E319C8"/>
    <w:rsid w:val="00E3677E"/>
    <w:rsid w:val="00E564B7"/>
    <w:rsid w:val="00E70660"/>
    <w:rsid w:val="00EA0AEF"/>
    <w:rsid w:val="00EA61B1"/>
    <w:rsid w:val="00EE7BD6"/>
    <w:rsid w:val="00EF01B5"/>
    <w:rsid w:val="00F11E8E"/>
    <w:rsid w:val="00F276CE"/>
    <w:rsid w:val="00F31C0B"/>
    <w:rsid w:val="00F40DD4"/>
    <w:rsid w:val="00F439B4"/>
    <w:rsid w:val="00F540CB"/>
    <w:rsid w:val="00F55B27"/>
    <w:rsid w:val="00F66C30"/>
    <w:rsid w:val="00F67B3D"/>
    <w:rsid w:val="00F8402C"/>
    <w:rsid w:val="00F930B8"/>
    <w:rsid w:val="00FA1FD8"/>
    <w:rsid w:val="00FA7F59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36"/>
    <w:rPr>
      <w:rFonts w:ascii="Segoe UI" w:hAnsi="Segoe U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044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9C169D"/>
    <w:pPr>
      <w:numPr>
        <w:numId w:val="3"/>
      </w:num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B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44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30449"/>
    <w:rPr>
      <w:rFonts w:ascii="Segoe UI" w:eastAsiaTheme="majorEastAsia" w:hAnsi="Segoe UI" w:cstheme="majorBidi"/>
      <w:b/>
      <w:bCs/>
      <w:color w:val="365F91" w:themeColor="accent1" w:themeShade="BF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3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A80"/>
    <w:rPr>
      <w:rFonts w:ascii="Segoe UI" w:hAnsi="Segoe U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A80"/>
    <w:rPr>
      <w:rFonts w:ascii="Segoe UI" w:hAnsi="Segoe UI"/>
      <w:sz w:val="20"/>
    </w:rPr>
  </w:style>
  <w:style w:type="table" w:styleId="Grilledutableau">
    <w:name w:val="Table Grid"/>
    <w:basedOn w:val="TableauNormal"/>
    <w:uiPriority w:val="59"/>
    <w:rsid w:val="0099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C169D"/>
    <w:rPr>
      <w:rFonts w:ascii="Segoe UI" w:hAnsi="Segoe UI"/>
      <w:b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45C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C7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C7B"/>
    <w:rPr>
      <w:rFonts w:ascii="Segoe UI" w:hAnsi="Segoe U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C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C7B"/>
    <w:rPr>
      <w:rFonts w:ascii="Segoe UI" w:hAnsi="Segoe U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A0AEF"/>
    <w:pPr>
      <w:spacing w:after="0" w:line="240" w:lineRule="auto"/>
    </w:pPr>
    <w:rPr>
      <w:rFonts w:ascii="Segoe UI" w:hAnsi="Segoe UI"/>
      <w:sz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C47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36"/>
    <w:rPr>
      <w:rFonts w:ascii="Segoe UI" w:hAnsi="Segoe U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044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9C169D"/>
    <w:pPr>
      <w:numPr>
        <w:numId w:val="3"/>
      </w:num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B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44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30449"/>
    <w:rPr>
      <w:rFonts w:ascii="Segoe UI" w:eastAsiaTheme="majorEastAsia" w:hAnsi="Segoe UI" w:cstheme="majorBidi"/>
      <w:b/>
      <w:bCs/>
      <w:color w:val="365F91" w:themeColor="accent1" w:themeShade="BF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3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A80"/>
    <w:rPr>
      <w:rFonts w:ascii="Segoe UI" w:hAnsi="Segoe U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A80"/>
    <w:rPr>
      <w:rFonts w:ascii="Segoe UI" w:hAnsi="Segoe UI"/>
      <w:sz w:val="20"/>
    </w:rPr>
  </w:style>
  <w:style w:type="table" w:styleId="Grilledutableau">
    <w:name w:val="Table Grid"/>
    <w:basedOn w:val="TableauNormal"/>
    <w:uiPriority w:val="59"/>
    <w:rsid w:val="0099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C169D"/>
    <w:rPr>
      <w:rFonts w:ascii="Segoe UI" w:hAnsi="Segoe UI"/>
      <w:b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45C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C7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C7B"/>
    <w:rPr>
      <w:rFonts w:ascii="Segoe UI" w:hAnsi="Segoe U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C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C7B"/>
    <w:rPr>
      <w:rFonts w:ascii="Segoe UI" w:hAnsi="Segoe U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A0AEF"/>
    <w:pPr>
      <w:spacing w:after="0" w:line="240" w:lineRule="auto"/>
    </w:pPr>
    <w:rPr>
      <w:rFonts w:ascii="Segoe UI" w:hAnsi="Segoe UI"/>
      <w:sz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C47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13A9-6800-4A55-B784-26A83909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laetitia.evrard</dc:creator>
  <cp:lastModifiedBy>REVEL-00100</cp:lastModifiedBy>
  <cp:revision>3</cp:revision>
  <cp:lastPrinted>2017-11-16T19:27:00Z</cp:lastPrinted>
  <dcterms:created xsi:type="dcterms:W3CDTF">2017-11-17T11:31:00Z</dcterms:created>
  <dcterms:modified xsi:type="dcterms:W3CDTF">2017-12-03T20:49:00Z</dcterms:modified>
</cp:coreProperties>
</file>